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鼎CS大黑"/>
          <w:color w:val="000000"/>
          <w:sz w:val="36"/>
        </w:rPr>
      </w:pPr>
      <w:r>
        <w:rPr>
          <w:rFonts w:hint="eastAsia" w:eastAsia="文鼎CS大黑"/>
          <w:color w:val="000000"/>
          <w:sz w:val="36"/>
          <w:lang w:eastAsia="zh-CN"/>
        </w:rPr>
        <w:t>宁</w:t>
      </w:r>
      <w:r>
        <w:rPr>
          <w:rFonts w:hint="eastAsia" w:eastAsia="文鼎CS大黑"/>
          <w:color w:val="000000"/>
          <w:sz w:val="36"/>
          <w:lang w:val="en-US" w:eastAsia="zh-CN"/>
        </w:rPr>
        <w:t xml:space="preserve"> </w:t>
      </w:r>
      <w:r>
        <w:rPr>
          <w:rFonts w:hint="eastAsia" w:eastAsia="文鼎CS大黑"/>
          <w:color w:val="000000"/>
          <w:sz w:val="36"/>
          <w:lang w:eastAsia="zh-CN"/>
        </w:rPr>
        <w:t>波</w:t>
      </w:r>
      <w:r>
        <w:rPr>
          <w:rFonts w:hint="eastAsia" w:eastAsia="文鼎CS大黑"/>
          <w:color w:val="000000"/>
          <w:sz w:val="36"/>
          <w:lang w:val="en-US" w:eastAsia="zh-CN"/>
        </w:rPr>
        <w:t xml:space="preserve"> </w:t>
      </w:r>
      <w:r>
        <w:rPr>
          <w:rFonts w:hint="eastAsia" w:eastAsia="文鼎CS大黑"/>
          <w:color w:val="000000"/>
          <w:sz w:val="36"/>
          <w:lang w:eastAsia="zh-CN"/>
        </w:rPr>
        <w:t>市</w:t>
      </w:r>
      <w:r>
        <w:rPr>
          <w:rFonts w:hint="eastAsia" w:eastAsia="文鼎CS大黑"/>
          <w:color w:val="000000"/>
          <w:sz w:val="36"/>
        </w:rPr>
        <w:t xml:space="preserve"> 工 程 </w:t>
      </w:r>
      <w:bookmarkStart w:id="0" w:name="_GoBack"/>
      <w:bookmarkEnd w:id="0"/>
      <w:r>
        <w:rPr>
          <w:rFonts w:hint="eastAsia" w:eastAsia="文鼎CS大黑"/>
          <w:color w:val="000000"/>
          <w:sz w:val="36"/>
        </w:rPr>
        <w:t>建 设 信 息</w:t>
      </w:r>
    </w:p>
    <w:p>
      <w:pPr>
        <w:ind w:firstLine="9800" w:firstLineChars="4900"/>
        <w:outlineLvl w:val="0"/>
        <w:rPr>
          <w:rFonts w:eastAsia="文鼎CS大黑"/>
          <w:color w:val="000000"/>
          <w:sz w:val="36"/>
        </w:rPr>
      </w:pP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7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default" w:ascii="宋体" w:hAnsi="宋体"/>
          <w:color w:val="000000"/>
          <w:sz w:val="20"/>
          <w:lang w:val="en-US" w:eastAsia="zh-CN"/>
        </w:rPr>
        <w:t>1</w:t>
      </w:r>
      <w:r>
        <w:rPr>
          <w:rFonts w:hint="eastAsia" w:ascii="宋体" w:hAnsi="宋体"/>
          <w:color w:val="000000"/>
          <w:sz w:val="20"/>
          <w:lang w:val="en-US" w:eastAsia="zh-CN"/>
        </w:rPr>
        <w:t>3</w:t>
      </w:r>
      <w:r>
        <w:rPr>
          <w:rFonts w:hint="eastAsia" w:ascii="宋体" w:hAnsi="宋体"/>
          <w:color w:val="000000"/>
          <w:sz w:val="20"/>
        </w:rPr>
        <w:t>日-</w:t>
      </w:r>
      <w:r>
        <w:rPr>
          <w:rFonts w:hint="eastAsia" w:ascii="宋体" w:hAnsi="宋体"/>
          <w:color w:val="000000"/>
          <w:sz w:val="20"/>
          <w:lang w:val="en-US" w:eastAsia="zh-CN"/>
        </w:rPr>
        <w:t>0</w:t>
      </w:r>
      <w:r>
        <w:rPr>
          <w:rFonts w:hint="default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月</w:t>
      </w:r>
      <w:r>
        <w:rPr>
          <w:rFonts w:hint="default" w:ascii="宋体" w:hAnsi="宋体"/>
          <w:color w:val="000000"/>
          <w:sz w:val="20"/>
          <w:lang w:val="en-US" w:eastAsia="zh-CN"/>
        </w:rPr>
        <w:t>0</w:t>
      </w:r>
      <w:r>
        <w:rPr>
          <w:rFonts w:hint="eastAsia" w:ascii="宋体" w:hAnsi="宋体"/>
          <w:color w:val="000000"/>
          <w:sz w:val="20"/>
          <w:lang w:val="en-US" w:eastAsia="zh-CN"/>
        </w:rPr>
        <w:t>8</w:t>
      </w:r>
      <w:r>
        <w:rPr>
          <w:rFonts w:hint="eastAsia" w:ascii="宋体" w:hAnsi="宋体"/>
          <w:color w:val="000000"/>
          <w:sz w:val="20"/>
        </w:rPr>
        <w:t>日</w:t>
      </w:r>
    </w:p>
    <w:tbl>
      <w:tblPr>
        <w:tblStyle w:val="3"/>
        <w:tblW w:w="16124" w:type="dxa"/>
        <w:tblInd w:w="-4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540"/>
        <w:gridCol w:w="1391"/>
        <w:gridCol w:w="959"/>
        <w:gridCol w:w="848"/>
        <w:gridCol w:w="685"/>
        <w:gridCol w:w="1340"/>
        <w:gridCol w:w="763"/>
        <w:gridCol w:w="2042"/>
        <w:gridCol w:w="2063"/>
        <w:gridCol w:w="1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经典平黑简"/>
                <w:color w:val="000000"/>
                <w:sz w:val="22"/>
              </w:rPr>
            </w:pPr>
            <w:r>
              <w:rPr>
                <w:rFonts w:hint="eastAsia" w:eastAsia="经典平黑简"/>
                <w:color w:val="000000"/>
                <w:sz w:val="22"/>
              </w:rPr>
              <w:t>建 设 单 位</w:t>
            </w:r>
          </w:p>
        </w:tc>
        <w:tc>
          <w:tcPr>
            <w:tcW w:w="2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工 程 名 称</w:t>
            </w:r>
          </w:p>
        </w:tc>
        <w:tc>
          <w:tcPr>
            <w:tcW w:w="13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建 设 地 点</w:t>
            </w:r>
          </w:p>
        </w:tc>
        <w:tc>
          <w:tcPr>
            <w:tcW w:w="9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建筑面积(m2)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pacing w:val="-6"/>
                <w:sz w:val="18"/>
              </w:rPr>
            </w:pPr>
            <w:r>
              <w:rPr>
                <w:rFonts w:hint="eastAsia" w:ascii="经典平黑简" w:eastAsia="经典平黑简"/>
                <w:color w:val="000000"/>
                <w:spacing w:val="-6"/>
                <w:sz w:val="18"/>
              </w:rPr>
              <w:t>计划投资总额(万元)</w:t>
            </w:r>
          </w:p>
        </w:tc>
        <w:tc>
          <w:tcPr>
            <w:tcW w:w="6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经典平黑简" w:eastAsia="经典平黑简"/>
                <w:color w:val="000000"/>
                <w:sz w:val="22"/>
                <w:szCs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  <w:szCs w:val="22"/>
              </w:rPr>
              <w:t>工期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 w:hAnsi="Verdana" w:eastAsia="经典平黑简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经典平黑简" w:hAnsi="Verdana" w:eastAsia="经典平黑简"/>
                <w:b/>
                <w:bCs/>
                <w:color w:val="000000"/>
                <w:sz w:val="18"/>
                <w:szCs w:val="18"/>
              </w:rPr>
              <w:t>报名截止时间</w:t>
            </w:r>
          </w:p>
        </w:tc>
        <w:tc>
          <w:tcPr>
            <w:tcW w:w="7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18"/>
                <w:szCs w:val="18"/>
              </w:rPr>
            </w:pPr>
            <w:r>
              <w:rPr>
                <w:rFonts w:ascii="Verdana" w:hAnsi="Verdana" w:eastAsia="经典平黑简"/>
                <w:bCs/>
                <w:color w:val="000000"/>
                <w:sz w:val="18"/>
                <w:szCs w:val="18"/>
              </w:rPr>
              <w:t>结构形式</w:t>
            </w:r>
          </w:p>
        </w:tc>
        <w:tc>
          <w:tcPr>
            <w:tcW w:w="2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" w:lineRule="auto"/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从业人员资格要求</w:t>
            </w:r>
          </w:p>
        </w:tc>
        <w:tc>
          <w:tcPr>
            <w:tcW w:w="2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Verdana" w:hAnsi="Verdana" w:eastAsia="经典平黑简"/>
                <w:color w:val="000000"/>
                <w:sz w:val="22"/>
                <w:szCs w:val="22"/>
              </w:rPr>
            </w:pPr>
            <w:r>
              <w:rPr>
                <w:rFonts w:ascii="Verdana" w:hAnsi="Verdana" w:eastAsia="经典平黑简"/>
                <w:bCs/>
                <w:color w:val="000000"/>
                <w:sz w:val="22"/>
                <w:szCs w:val="18"/>
              </w:rPr>
              <w:t>承包</w:t>
            </w:r>
            <w:r>
              <w:rPr>
                <w:rFonts w:ascii="Verdana" w:hAnsi="Verdana" w:eastAsia="经典平黑简"/>
                <w:color w:val="000000"/>
                <w:sz w:val="22"/>
                <w:szCs w:val="18"/>
              </w:rPr>
              <w:t>资质要求</w:t>
            </w:r>
          </w:p>
        </w:tc>
        <w:tc>
          <w:tcPr>
            <w:tcW w:w="13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联系电话</w:t>
            </w:r>
          </w:p>
          <w:p>
            <w:pPr>
              <w:jc w:val="center"/>
              <w:rPr>
                <w:rFonts w:ascii="经典平黑简" w:eastAsia="经典平黑简"/>
                <w:color w:val="000000"/>
                <w:sz w:val="22"/>
              </w:rPr>
            </w:pPr>
            <w:r>
              <w:rPr>
                <w:rFonts w:hint="eastAsia" w:ascii="经典平黑简" w:eastAsia="经典平黑简"/>
                <w:color w:val="000000"/>
                <w:sz w:val="22"/>
              </w:rPr>
              <w:t>及联系人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黑体" w:eastAsia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color w:val="000000"/>
                <w:sz w:val="22"/>
                <w:szCs w:val="22"/>
              </w:rPr>
              <w:t>宁波</w:t>
            </w:r>
            <w:r>
              <w:rPr>
                <w:rFonts w:hint="eastAsia" w:ascii="黑体" w:eastAsia="黑体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文鼎CS中宋" w:eastAsia="文鼎CS中宋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文鼎CS中宋" w:eastAsia="文鼎CS中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宁波教育实业集团育才建设开发有限公司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宁波市体育中心雅戈尔体育馆维修工程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位于鄞州区中兴路360号市体育中心内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11485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2296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1932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2017-07-21 2017-08-10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施工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须具备注册建造师（含临时建造师[不超过60周岁]）壹级，注册专业建筑工程，并具有有效的安全生产考核合格证书（B证）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金工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0574-88116998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中华人民共和国穿山边防检查站、宁波建工工程集团有限公司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中华人民共和国穿山边防检查站项目室外附属工程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宁波市北仑区(其中办公用房位于大碶街道，穿山疏港南；监护中队位于白峰镇集翔路；生活用房位于东泰巷地块)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21581.97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11056.14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·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2017-07-21 2017-08-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施工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{注册建造师(含临时建造师，年龄不超过60周岁)贰级及以上资质，并具有有效的安全生产考核合格证(B证)，注册专业市政公用工程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须具备市政公用工程施工总承包叁级及以上资质，并在人员、设备、资金等方面具有相应的施工能力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胡孙杰、徐情情、江雷0574-87312175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宁波市江北投资创业开发有限公司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江北区工业园区老小区景观附属提升工程总承包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江北区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2017-07-2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2017-08-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市政公用工程二级注册建造师及以上(含临时建造师，临时建造师年龄需在60周岁以下)，具有《建筑施工企业项目负责人安全生产考核合格证书》(B证)(联合体投标的，由承担施工任务的单位派出)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①市政行业(道路工程)专业设计丙级及以上；或工程设计综合资质；②市政公用工程施工总承包三级及以上资质。或具备上述①、②资质的联合体，联合体家数不超过2家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李娜18967882690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宁波大学</w:t>
            </w:r>
          </w:p>
        </w:tc>
        <w:tc>
          <w:tcPr>
            <w:tcW w:w="2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宁波大学本部校区教工宿舍28#楼修缮工程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宁波大学校区内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4500</w:t>
            </w: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9063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2017-07-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2017-08-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7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施工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具备注册建造师</w:t>
            </w:r>
          </w:p>
        </w:tc>
        <w:tc>
          <w:tcPr>
            <w:tcW w:w="2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建筑工程施工总承包叁级及以上资质，并具有合格有效的安全生产许可证，且在人员、设备、资金等方面具有相应的施工能力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李工、高工0574-88130810、15867849585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898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鼎CS大黑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中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1ao4 black light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宋体g彇.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金山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Optim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΢ȭхڬ sans-serif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x1ao4 black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微刚重岸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造字工房言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造字工房俊雅锐宋体验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悦古典明朝体 (非商业使用) W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B1B0B"/>
    <w:rsid w:val="3B981862"/>
    <w:rsid w:val="6E8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